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C57DB4">
      <w:pPr>
        <w:jc w:val="center"/>
        <w:rPr>
          <w:b/>
          <w:bCs/>
        </w:rPr>
      </w:pPr>
      <w:r>
        <w:rPr>
          <w:rFonts w:hint="eastAsia"/>
          <w:b/>
          <w:bCs/>
        </w:rPr>
        <w:t>《华南地理学报》参考文献格式要求</w:t>
      </w:r>
    </w:p>
    <w:p w14:paraId="46028E23">
      <w:pPr>
        <w:ind w:firstLine="420" w:firstLineChars="200"/>
        <w:rPr>
          <w:rFonts w:ascii="宋体" w:hAnsi="宋体" w:eastAsia="宋体"/>
        </w:rPr>
      </w:pPr>
    </w:p>
    <w:p w14:paraId="22196FDD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Times New Roman" w:hAnsi="Times New Roman" w:eastAsia="宋体" w:cs="Times New Roman"/>
        </w:rPr>
        <w:t>在论文中注意引用近2</w:t>
      </w:r>
      <w:r>
        <w:rPr>
          <w:rFonts w:hint="default" w:ascii="Times New Roman" w:hAnsi="Times New Roman" w:eastAsia="宋体" w:cs="Times New Roman"/>
        </w:rPr>
        <w:t>～</w:t>
      </w:r>
      <w:r>
        <w:rPr>
          <w:rFonts w:ascii="Times New Roman" w:hAnsi="Times New Roman" w:eastAsia="宋体" w:cs="Times New Roman"/>
        </w:rPr>
        <w:t>3年的国内外主要相关文献，至少三分之二的参考文献应在5</w:t>
      </w:r>
      <w:bookmarkStart w:id="1" w:name="_GoBack"/>
      <w:bookmarkEnd w:id="1"/>
      <w:r>
        <w:rPr>
          <w:rFonts w:ascii="Times New Roman" w:hAnsi="Times New Roman" w:eastAsia="宋体" w:cs="Times New Roman"/>
        </w:rPr>
        <w:t>年以内。全文参考文献一般不少于15</w:t>
      </w:r>
      <w:r>
        <w:rPr>
          <w:rFonts w:hint="default" w:ascii="Times New Roman" w:hAnsi="Times New Roman" w:eastAsia="宋体" w:cs="Times New Roman"/>
        </w:rPr>
        <w:t>～</w:t>
      </w:r>
      <w:r>
        <w:rPr>
          <w:rFonts w:ascii="Times New Roman" w:hAnsi="Times New Roman" w:eastAsia="宋体" w:cs="Times New Roman"/>
        </w:rPr>
        <w:t>20篇，中文文献后需要有相应的英文对照。正文中引用公开出版的文献，按文中出现的先后顺序编码（在引用处右上角用方括号标注），列于全文末。对文中注释或未正式发表的文献可作为脚注处理，用数字加圆圈标注。引用文献资料和数据要认真核实，注明出处。文献作者一般只列前三名，中用</w:t>
      </w:r>
      <w:r>
        <w:rPr>
          <w:rFonts w:hint="default" w:ascii="Times New Roman" w:hAnsi="Times New Roman" w:eastAsia="宋体" w:cs="Times New Roman"/>
        </w:rPr>
        <w:t>“，”</w:t>
      </w:r>
      <w:r>
        <w:rPr>
          <w:rFonts w:ascii="Times New Roman" w:hAnsi="Times New Roman" w:eastAsia="宋体" w:cs="Times New Roman"/>
        </w:rPr>
        <w:t>隔开；三人以上后加“，等”或“，et al.”。英文文献中作者姓</w:t>
      </w:r>
      <w:r>
        <w:rPr>
          <w:rFonts w:ascii="宋体" w:hAnsi="宋体" w:eastAsia="宋体"/>
        </w:rPr>
        <w:t>在前，名在后。如</w:t>
      </w:r>
      <w:r>
        <w:rPr>
          <w:rFonts w:ascii="Times New Roman" w:hAnsi="Times New Roman" w:eastAsia="宋体" w:cs="Times New Roman"/>
        </w:rPr>
        <w:t>P. E. James</w:t>
      </w:r>
      <w:r>
        <w:rPr>
          <w:rFonts w:ascii="Times New Roman" w:hAnsi="Times New Roman" w:eastAsia="宋体" w:cs="Times New Roman"/>
        </w:rPr>
        <w:t>，文献著录为JAMES P E。</w:t>
      </w:r>
      <w:r>
        <w:rPr>
          <w:rFonts w:ascii="宋体" w:hAnsi="宋体" w:eastAsia="宋体"/>
        </w:rPr>
        <w:t>本刊参考文献采用顺序编码制，</w:t>
      </w:r>
      <w:r>
        <w:rPr>
          <w:rFonts w:ascii="宋体" w:hAnsi="宋体" w:eastAsia="宋体"/>
          <w:b/>
          <w:bCs/>
        </w:rPr>
        <w:t>参考文献排列格式为</w:t>
      </w:r>
      <w:r>
        <w:rPr>
          <w:rFonts w:ascii="宋体" w:hAnsi="宋体" w:eastAsia="宋体"/>
        </w:rPr>
        <w:t>：</w:t>
      </w:r>
    </w:p>
    <w:p w14:paraId="27D9A6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(1) 期刊：作者.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[J]</w:t>
      </w:r>
      <w:r>
        <w:rPr>
          <w:rFonts w:ascii="宋体" w:hAnsi="宋体" w:eastAsia="宋体"/>
        </w:rPr>
        <w:t>. 刊名, 出版年, 卷（期）: 起止页码（连接符用“-”）. [对应英文.]</w:t>
      </w:r>
    </w:p>
    <w:p w14:paraId="0CD6E1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(2) 专著：作者.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[M]</w:t>
      </w:r>
      <w:r>
        <w:rPr>
          <w:rFonts w:ascii="宋体" w:hAnsi="宋体" w:eastAsia="宋体"/>
        </w:rPr>
        <w:t>. 出版地: 出版者, 出版年: 起止页码（连接符用“-”）. [对应英文.]</w:t>
      </w:r>
    </w:p>
    <w:p w14:paraId="4EBB1109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(3) 文集：作者. 文献题名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 Regular" w:hAnsi="Times New Roman Regular" w:cs="Times New Roman Regular"/>
        </w:rPr>
        <w:t>[C]//</w:t>
      </w:r>
      <w:r>
        <w:rPr>
          <w:rFonts w:ascii="宋体" w:hAnsi="宋体" w:eastAsia="宋体"/>
        </w:rPr>
        <w:t>. 编著者. 书名. 出版地: 出版者, 出版年: 起止页码（连接符用“-”）. [对应英文.]</w:t>
      </w:r>
    </w:p>
    <w:p w14:paraId="79896C2B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(4) 报纸：作者.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[N]</w:t>
      </w:r>
      <w:r>
        <w:rPr>
          <w:rFonts w:ascii="宋体" w:hAnsi="宋体" w:eastAsia="宋体"/>
        </w:rPr>
        <w:t>. 报纸名, 出版日期(版次).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>[对应英文.]</w:t>
      </w:r>
    </w:p>
    <w:p w14:paraId="49D247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(5) 学位论文：作者.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[D]</w:t>
      </w:r>
      <w:r>
        <w:rPr>
          <w:rFonts w:ascii="宋体" w:hAnsi="宋体" w:eastAsia="宋体"/>
        </w:rPr>
        <w:t>. 保存地点: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>授予单位, 写作年份. [对应英文.]</w:t>
      </w:r>
    </w:p>
    <w:p w14:paraId="6A14E5DB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(6) 电子文献：作者. 文献题名</w:t>
      </w:r>
      <w:r>
        <w:rPr>
          <w:rFonts w:hint="eastAsia" w:ascii="宋体" w:hAnsi="宋体" w:eastAsia="宋体"/>
        </w:rPr>
        <w:t xml:space="preserve"> </w:t>
      </w:r>
      <w:r>
        <w:rPr>
          <w:rFonts w:ascii="Times New Roman Regular" w:hAnsi="Times New Roman Regular" w:cs="Times New Roman Regular"/>
        </w:rPr>
        <w:t>[</w:t>
      </w:r>
      <w:r>
        <w:rPr>
          <w:rFonts w:hint="eastAsia" w:ascii="宋体" w:hAnsi="宋体" w:eastAsia="宋体"/>
        </w:rPr>
        <w:t>文献类型标识</w:t>
      </w:r>
      <w:r>
        <w:rPr>
          <w:rFonts w:ascii="Times New Roman Regular" w:hAnsi="Times New Roman Regular" w:cs="Times New Roman Regular"/>
        </w:rPr>
        <w:t>]</w:t>
      </w:r>
      <w:r>
        <w:rPr>
          <w:rFonts w:ascii="宋体" w:hAnsi="宋体" w:eastAsia="宋体"/>
        </w:rPr>
        <w:t>. (发表或更新日期)[引用日期]. 出处或网址. [对应英文.]</w:t>
      </w:r>
    </w:p>
    <w:p w14:paraId="75FBAA4C">
      <w:pPr>
        <w:spacing w:line="360" w:lineRule="auto"/>
        <w:rPr>
          <w:rFonts w:ascii="宋体" w:hAnsi="宋体" w:eastAsia="宋体"/>
          <w:b/>
          <w:bCs/>
        </w:rPr>
      </w:pPr>
      <w:r>
        <w:rPr>
          <w:rFonts w:hint="eastAsia" w:ascii="宋体" w:hAnsi="宋体" w:eastAsia="宋体"/>
          <w:b/>
          <w:bCs/>
        </w:rPr>
        <w:t>文献类型/类型标识：</w:t>
      </w:r>
    </w:p>
    <w:p w14:paraId="0CE2D4FF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专著/</w:t>
      </w:r>
      <w:r>
        <w:rPr>
          <w:rFonts w:ascii="Times New Roman Regular" w:hAnsi="Times New Roman Regular" w:eastAsia="宋体" w:cs="Times New Roman Regular"/>
        </w:rPr>
        <w:t>M</w:t>
      </w:r>
      <w:r>
        <w:rPr>
          <w:rFonts w:hint="eastAsia" w:ascii="宋体" w:hAnsi="宋体" w:eastAsia="宋体"/>
        </w:rPr>
        <w:t>；论文集、会议录/</w:t>
      </w:r>
      <w:r>
        <w:rPr>
          <w:rFonts w:ascii="Times New Roman Regular" w:hAnsi="Times New Roman Regular" w:eastAsia="宋体" w:cs="Times New Roman Regular"/>
        </w:rPr>
        <w:t>C</w:t>
      </w:r>
      <w:r>
        <w:rPr>
          <w:rFonts w:hint="eastAsia" w:ascii="宋体" w:hAnsi="宋体" w:eastAsia="宋体"/>
        </w:rPr>
        <w:t>；报纸文章/</w:t>
      </w:r>
      <w:r>
        <w:rPr>
          <w:rFonts w:ascii="Times New Roman Regular" w:hAnsi="Times New Roman Regular" w:eastAsia="宋体" w:cs="Times New Roman Regular"/>
        </w:rPr>
        <w:t>N</w:t>
      </w:r>
      <w:r>
        <w:rPr>
          <w:rFonts w:hint="eastAsia" w:ascii="宋体" w:hAnsi="宋体" w:eastAsia="宋体"/>
        </w:rPr>
        <w:t>；期刊文章/</w:t>
      </w:r>
      <w:r>
        <w:rPr>
          <w:rFonts w:ascii="Times New Roman Regular" w:hAnsi="Times New Roman Regular" w:eastAsia="宋体" w:cs="Times New Roman Regular"/>
        </w:rPr>
        <w:t>J</w:t>
      </w:r>
      <w:r>
        <w:rPr>
          <w:rFonts w:hint="eastAsia" w:ascii="宋体" w:hAnsi="宋体" w:eastAsia="宋体"/>
        </w:rPr>
        <w:t>；学位论文/</w:t>
      </w:r>
      <w:r>
        <w:rPr>
          <w:rFonts w:ascii="Times New Roman Regular" w:hAnsi="Times New Roman Regular" w:eastAsia="宋体" w:cs="Times New Roman Regular"/>
        </w:rPr>
        <w:t>D</w:t>
      </w:r>
      <w:r>
        <w:rPr>
          <w:rFonts w:hint="eastAsia" w:ascii="宋体" w:hAnsi="宋体" w:eastAsia="宋体"/>
        </w:rPr>
        <w:t>；报告/</w:t>
      </w:r>
      <w:r>
        <w:rPr>
          <w:rFonts w:ascii="Times New Roman Regular" w:hAnsi="Times New Roman Regular" w:eastAsia="宋体" w:cs="Times New Roman Regular"/>
        </w:rPr>
        <w:t>R</w:t>
      </w:r>
      <w:r>
        <w:rPr>
          <w:rFonts w:hint="eastAsia" w:ascii="宋体" w:hAnsi="宋体" w:eastAsia="宋体"/>
        </w:rPr>
        <w:t>；标准/</w:t>
      </w:r>
      <w:r>
        <w:rPr>
          <w:rFonts w:ascii="Times New Roman Regular" w:hAnsi="Times New Roman Regular" w:eastAsia="宋体" w:cs="Times New Roman Regular"/>
        </w:rPr>
        <w:t>S</w:t>
      </w:r>
      <w:r>
        <w:rPr>
          <w:rFonts w:hint="eastAsia" w:ascii="宋体" w:hAnsi="宋体" w:eastAsia="宋体"/>
        </w:rPr>
        <w:t>；专利/</w:t>
      </w:r>
      <w:r>
        <w:rPr>
          <w:rFonts w:ascii="Times New Roman Regular" w:hAnsi="Times New Roman Regular" w:eastAsia="宋体" w:cs="Times New Roman Regular"/>
        </w:rPr>
        <w:t>P</w:t>
      </w:r>
      <w:r>
        <w:rPr>
          <w:rFonts w:hint="eastAsia" w:ascii="宋体" w:hAnsi="宋体" w:eastAsia="宋体"/>
        </w:rPr>
        <w:t>；汇编/</w:t>
      </w:r>
      <w:r>
        <w:rPr>
          <w:rFonts w:ascii="Times New Roman Regular" w:hAnsi="Times New Roman Regular" w:eastAsia="宋体" w:cs="Times New Roman Regular"/>
        </w:rPr>
        <w:t>G</w:t>
      </w:r>
      <w:r>
        <w:rPr>
          <w:rFonts w:hint="eastAsia" w:ascii="宋体" w:hAnsi="宋体" w:eastAsia="宋体"/>
        </w:rPr>
        <w:t>；数据库/</w:t>
      </w:r>
      <w:r>
        <w:rPr>
          <w:rFonts w:ascii="Times New Roman Regular" w:hAnsi="Times New Roman Regular" w:eastAsia="宋体" w:cs="Times New Roman Regular"/>
        </w:rPr>
        <w:t>DB</w:t>
      </w:r>
      <w:r>
        <w:rPr>
          <w:rFonts w:hint="eastAsia" w:ascii="宋体" w:hAnsi="宋体" w:eastAsia="宋体"/>
        </w:rPr>
        <w:t>；计算机程序/</w:t>
      </w:r>
      <w:r>
        <w:rPr>
          <w:rFonts w:ascii="Times New Roman Regular" w:hAnsi="Times New Roman Regular" w:eastAsia="宋体" w:cs="Times New Roman Regular"/>
        </w:rPr>
        <w:t>CP</w:t>
      </w:r>
      <w:r>
        <w:rPr>
          <w:rFonts w:hint="eastAsia" w:ascii="宋体" w:hAnsi="宋体" w:eastAsia="宋体"/>
        </w:rPr>
        <w:t>；电子公告/</w:t>
      </w:r>
      <w:r>
        <w:rPr>
          <w:rFonts w:ascii="Times New Roman Regular" w:hAnsi="Times New Roman Regular" w:eastAsia="宋体" w:cs="Times New Roman Regular"/>
        </w:rPr>
        <w:t>EB</w:t>
      </w:r>
    </w:p>
    <w:p w14:paraId="76936C1A">
      <w:pPr>
        <w:spacing w:line="360" w:lineRule="auto"/>
        <w:rPr>
          <w:rFonts w:ascii="宋体" w:hAnsi="宋体" w:eastAsia="宋体"/>
          <w:b/>
          <w:bCs/>
        </w:rPr>
      </w:pPr>
      <w:r>
        <w:rPr>
          <w:rFonts w:hint="eastAsia" w:ascii="宋体" w:hAnsi="宋体" w:eastAsia="宋体"/>
          <w:b/>
          <w:bCs/>
        </w:rPr>
        <w:t>文献载体/载体代码标识：</w:t>
      </w:r>
    </w:p>
    <w:p w14:paraId="0DF65225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hint="eastAsia" w:ascii="宋体" w:hAnsi="宋体" w:eastAsia="宋体"/>
        </w:rPr>
        <w:t>磁带（</w:t>
      </w:r>
      <w:r>
        <w:rPr>
          <w:rFonts w:ascii="Times New Roman Regular" w:hAnsi="Times New Roman Regular" w:eastAsia="宋体" w:cs="Times New Roman Regular"/>
        </w:rPr>
        <w:t>magnetic tape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MT</w:t>
      </w:r>
      <w:r>
        <w:rPr>
          <w:rFonts w:hint="eastAsia" w:ascii="宋体" w:hAnsi="宋体" w:eastAsia="宋体"/>
        </w:rPr>
        <w:t>；磁盘（</w:t>
      </w:r>
      <w:r>
        <w:rPr>
          <w:rFonts w:ascii="Times New Roman Regular" w:hAnsi="Times New Roman Regular" w:eastAsia="宋体" w:cs="Times New Roman Regular"/>
        </w:rPr>
        <w:t>disk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DK</w:t>
      </w:r>
      <w:r>
        <w:rPr>
          <w:rFonts w:hint="eastAsia" w:ascii="宋体" w:hAnsi="宋体" w:eastAsia="宋体"/>
        </w:rPr>
        <w:t>；光盘（</w:t>
      </w:r>
      <w:r>
        <w:rPr>
          <w:rFonts w:ascii="Times New Roman Regular" w:hAnsi="Times New Roman Regular" w:eastAsia="宋体" w:cs="Times New Roman Regular"/>
        </w:rPr>
        <w:t>CD-ROM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CD</w:t>
      </w:r>
      <w:r>
        <w:rPr>
          <w:rFonts w:hint="eastAsia" w:ascii="宋体" w:hAnsi="宋体" w:eastAsia="宋体"/>
        </w:rPr>
        <w:t>；联机网络（</w:t>
      </w:r>
      <w:r>
        <w:rPr>
          <w:rFonts w:ascii="Times New Roman Regular" w:hAnsi="Times New Roman Regular" w:eastAsia="黑体" w:cs="Times New Roman Regular"/>
        </w:rPr>
        <w:t>online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OL</w:t>
      </w:r>
    </w:p>
    <w:p w14:paraId="50BB383C">
      <w:pPr>
        <w:spacing w:line="360" w:lineRule="auto"/>
        <w:rPr>
          <w:rFonts w:ascii="Times New Roman Regular" w:hAnsi="Times New Roman Regular" w:eastAsia="宋体" w:cs="Times New Roman Regular"/>
          <w:b/>
          <w:bCs/>
        </w:rPr>
      </w:pPr>
      <w:r>
        <w:rPr>
          <w:rFonts w:hint="eastAsia" w:ascii="Times New Roman Regular" w:hAnsi="Times New Roman Regular" w:eastAsia="宋体" w:cs="Times New Roman Regular"/>
          <w:b/>
          <w:bCs/>
        </w:rPr>
        <w:t>文献标点符号及</w:t>
      </w:r>
      <w:r>
        <w:rPr>
          <w:rFonts w:ascii="Times New Roman Regular" w:hAnsi="Times New Roman Regular" w:eastAsia="宋体" w:cs="Times New Roman Regular"/>
          <w:b/>
          <w:bCs/>
        </w:rPr>
        <w:t>外文字母大小写</w:t>
      </w:r>
      <w:r>
        <w:rPr>
          <w:rFonts w:hint="eastAsia" w:ascii="Times New Roman Regular" w:hAnsi="Times New Roman Regular" w:eastAsia="宋体" w:cs="Times New Roman Regular"/>
          <w:b/>
          <w:bCs/>
        </w:rPr>
        <w:t>：</w:t>
      </w:r>
    </w:p>
    <w:p w14:paraId="5CB3E422">
      <w:pPr>
        <w:ind w:firstLine="42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(1) 正文中引用文献处以及参考文献列表中的标点(含括号)均为半角，且后面需空一格。</w:t>
      </w:r>
    </w:p>
    <w:p w14:paraId="1A009BD5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2</w:t>
      </w:r>
      <w:r>
        <w:rPr>
          <w:rFonts w:ascii="Times New Roman Regular" w:hAnsi="Times New Roman Regular" w:eastAsia="宋体" w:cs="Times New Roman Regular"/>
        </w:rPr>
        <w:t>) 作者名称：姓氏</w:t>
      </w:r>
      <w:r>
        <w:rPr>
          <w:rFonts w:hint="eastAsia" w:ascii="Times New Roman Regular" w:hAnsi="Times New Roman Regular" w:eastAsia="宋体" w:cs="Times New Roman Regular"/>
        </w:rPr>
        <w:t>全拼</w:t>
      </w:r>
      <w:r>
        <w:rPr>
          <w:rFonts w:ascii="Times New Roman Regular" w:hAnsi="Times New Roman Regular" w:eastAsia="宋体" w:cs="Times New Roman Regular"/>
        </w:rPr>
        <w:t>及名字</w:t>
      </w:r>
      <w:r>
        <w:rPr>
          <w:rFonts w:hint="eastAsia" w:ascii="Times New Roman Regular" w:hAnsi="Times New Roman Regular" w:eastAsia="宋体" w:cs="Times New Roman Regular"/>
        </w:rPr>
        <w:t>缩写</w:t>
      </w:r>
      <w:r>
        <w:rPr>
          <w:rFonts w:ascii="Times New Roman Regular" w:hAnsi="Times New Roman Regular" w:eastAsia="宋体" w:cs="Times New Roman Regular"/>
        </w:rPr>
        <w:t>用大写。例如：“王晓峰”对应“WANG X F”。</w:t>
      </w:r>
    </w:p>
    <w:p w14:paraId="7F9AAD4B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3</w:t>
      </w:r>
      <w:r>
        <w:rPr>
          <w:rFonts w:ascii="Times New Roman Regular" w:hAnsi="Times New Roman Regular" w:eastAsia="宋体" w:cs="Times New Roman Regular"/>
        </w:rPr>
        <w:t xml:space="preserve">) </w:t>
      </w:r>
      <w:bookmarkStart w:id="0" w:name="OLE_LINK2"/>
      <w:r>
        <w:rPr>
          <w:rFonts w:ascii="Times New Roman Regular" w:hAnsi="Times New Roman Regular" w:eastAsia="宋体" w:cs="Times New Roman Regular"/>
        </w:rPr>
        <w:t>文献题名：无论是期刊文章还是专著、文集、研究报告等的题名，除第一个单词的首字母大写外（副标题首字母也需大写），其余均为小写。</w:t>
      </w:r>
      <w:bookmarkEnd w:id="0"/>
    </w:p>
    <w:p w14:paraId="0FC0697D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4</w:t>
      </w:r>
      <w:r>
        <w:rPr>
          <w:rFonts w:ascii="Times New Roman Regular" w:hAnsi="Times New Roman Regular" w:eastAsia="宋体" w:cs="Times New Roman Regular"/>
        </w:rPr>
        <w:t>) 期刊名称：所有实词首字母大写。</w:t>
      </w:r>
    </w:p>
    <w:p w14:paraId="2CED5773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5</w:t>
      </w:r>
      <w:r>
        <w:rPr>
          <w:rFonts w:ascii="Times New Roman Regular" w:hAnsi="Times New Roman Regular" w:eastAsia="宋体" w:cs="Times New Roman Regular"/>
        </w:rPr>
        <w:t>) 出版者：所有实词首字母大写。</w:t>
      </w:r>
    </w:p>
    <w:p w14:paraId="08DBE2C3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6</w:t>
      </w:r>
      <w:r>
        <w:rPr>
          <w:rFonts w:ascii="Times New Roman Regular" w:hAnsi="Times New Roman Regular" w:eastAsia="宋体" w:cs="Times New Roman Regular"/>
        </w:rPr>
        <w:t>) 专有名词：所有实词首字母为大写。常见的专有名词有: Tibet Plateau、Shandong Province、Yangtze River Delta、China、USA、IPCC、CAS等。</w:t>
      </w:r>
    </w:p>
    <w:p w14:paraId="3EC2E311">
      <w:pPr>
        <w:spacing w:line="360" w:lineRule="auto"/>
        <w:rPr>
          <w:rFonts w:ascii="宋体" w:hAnsi="宋体" w:eastAsia="宋体"/>
        </w:rPr>
      </w:pPr>
      <w:r>
        <w:rPr>
          <w:rFonts w:hint="eastAsia" w:ascii="宋体" w:hAnsi="宋体" w:eastAsia="宋体"/>
          <w:b/>
          <w:bCs/>
        </w:rPr>
        <w:t>切记：</w:t>
      </w:r>
      <w:r>
        <w:rPr>
          <w:rFonts w:ascii="宋体" w:hAnsi="宋体" w:eastAsia="宋体"/>
        </w:rPr>
        <w:t>每条文献中各项必须齐全，并要特别注意以下容易忽略的项目：论文的卷与期的信息、</w:t>
      </w:r>
    </w:p>
    <w:p w14:paraId="73C0FB38">
      <w:pPr>
        <w:widowControl/>
        <w:spacing w:line="360" w:lineRule="auto"/>
        <w:ind w:firstLine="525" w:firstLineChars="250"/>
        <w:jc w:val="left"/>
        <w:rPr>
          <w:rFonts w:ascii="宋体" w:hAnsi="宋体" w:eastAsia="宋体" w:cs="宋体"/>
          <w:b/>
          <w:bCs/>
          <w:color w:val="231F20"/>
          <w:kern w:val="0"/>
          <w:sz w:val="20"/>
          <w:szCs w:val="20"/>
        </w:rPr>
      </w:pPr>
      <w:r>
        <w:rPr>
          <w:rFonts w:ascii="宋体" w:hAnsi="宋体" w:eastAsia="宋体"/>
        </w:rPr>
        <w:t>论文集编者姓名、论文集书名、专著和论文集的出版城市及出版社以及起止页码等。</w:t>
      </w:r>
    </w:p>
    <w:p w14:paraId="7C9CC250">
      <w:pPr>
        <w:widowControl/>
        <w:jc w:val="left"/>
        <w:rPr>
          <w:rFonts w:ascii="宋体" w:hAnsi="宋体" w:eastAsia="宋体" w:cs="宋体"/>
          <w:b/>
          <w:bCs/>
          <w:color w:val="231F20"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color w:val="231F20"/>
          <w:kern w:val="0"/>
          <w:szCs w:val="21"/>
        </w:rPr>
        <w:t xml:space="preserve">示例 </w:t>
      </w:r>
    </w:p>
    <w:p w14:paraId="1A9A8C10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期刊 </w:t>
      </w:r>
    </w:p>
    <w:p w14:paraId="5EC10402">
      <w:pPr>
        <w:widowControl/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[1]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顾朝林, 陈乐琳, 顾江, 等. 人类世地理学: 新使命和新领域 [J]. 华南地理学报, 2023, 1(02): 1-14.</w:t>
      </w:r>
    </w:p>
    <w:p w14:paraId="655ACD37">
      <w:pPr>
        <w:widowControl/>
        <w:numPr>
          <w:ilvl w:val="255"/>
          <w:numId w:val="0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GU C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L,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CHEN L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L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,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GU J, et al.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Geography of the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a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nthropocene: New missions and new frontiers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[J]. South China Journal of Geography,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2023, 1(02): 1-14.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] </w:t>
      </w:r>
    </w:p>
    <w:p w14:paraId="4D2171AD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]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WAINWRIGHT T, MANVILLE G, MURPHY J.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Evolving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m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arket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i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nfrastructures: The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ase of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a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ssetization in UK Social Housing [J]. Economic Geography, 2024, 100(1): 57-79. </w:t>
      </w:r>
    </w:p>
    <w:p w14:paraId="519F92B0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专著 </w:t>
      </w:r>
    </w:p>
    <w:p w14:paraId="17C507B6">
      <w:pPr>
        <w:widowControl/>
        <w:numPr>
          <w:ilvl w:val="0"/>
          <w:numId w:val="1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陆大道. 区域发展及其空间结构 [M]. 北京: 科学出版社, 1998: 15-89. [LU D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D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Regional development and spatial structure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[M]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Beijing: Science Press, 1998: 15-89.]</w:t>
      </w:r>
    </w:p>
    <w:p w14:paraId="65630429">
      <w:pPr>
        <w:widowControl/>
        <w:numPr>
          <w:ilvl w:val="255"/>
          <w:numId w:val="0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WILKS D S. Statistical methods in the atmospheric sciences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[M]. 3rd ed. USA: Academic Press, 2011: 395-458.</w:t>
      </w:r>
    </w:p>
    <w:p w14:paraId="1E3DCCD7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论文集 </w:t>
      </w:r>
    </w:p>
    <w:p w14:paraId="7B1A0B8A">
      <w:pPr>
        <w:widowControl/>
        <w:numPr>
          <w:ilvl w:val="0"/>
          <w:numId w:val="2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舒旻, 谭民. 多国河流水电资源开发的越境环境影响评价制度分析: 以澜沧江—湄公河为例 [C]// 武汉大学法学院. 2008 全国博士生学术论坛（国际法）论文集. 武汉: 武汉大学法学院, 2008: 508-518. [SHU M, TAN M. Analysis on the institutions of trans-boundary environmental impact assessment on hydropower developments on the multi-states rivers: The case of the Lancang-Mekong river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[C]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//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Law School of Wuhan University. The Proceedings of 2008 National PhD Candidates Academic Forum (International Law). Wuhan: Law School of Wuhan University, 2008: 508-518.]</w:t>
      </w:r>
    </w:p>
    <w:p w14:paraId="6A56E033">
      <w:pPr>
        <w:widowControl/>
        <w:numPr>
          <w:ilvl w:val="0"/>
          <w:numId w:val="2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HALL P.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Global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ity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r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egions in the twenty-first century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]//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SCOTT A J. Global city region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s. Oxford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: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Oxford University Press, 2001: 59-77.</w:t>
      </w:r>
    </w:p>
    <w:p w14:paraId="0289F7FE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6D6FDEC5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学位论文 </w:t>
      </w:r>
    </w:p>
    <w:p w14:paraId="496F6866">
      <w:pPr>
        <w:widowControl/>
        <w:jc w:val="left"/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[1]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 马聪颖. 空间溢出视角下财政分权与义务教育财政均衡 [D]. 广州: 华南师范大学, 2021.</w:t>
      </w:r>
    </w:p>
    <w:p w14:paraId="5892F7E7">
      <w:pPr>
        <w:widowControl/>
        <w:jc w:val="left"/>
        <w:rPr>
          <w:rFonts w:ascii="宋体" w:hAnsi="宋体" w:eastAsia="宋体" w:cs="宋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[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MA C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 Y.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Fiscal decentralization and compulsory education fiscal equilibrium from the perspective of spatial spillover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 [D].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Guangzhou: South China Normal University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2021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.] </w:t>
      </w:r>
    </w:p>
    <w:p w14:paraId="39780EAC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193D4591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新闻报道 </w:t>
      </w:r>
    </w:p>
    <w:p w14:paraId="2B9678C6">
      <w:pPr>
        <w:widowControl/>
        <w:numPr>
          <w:ilvl w:val="0"/>
          <w:numId w:val="3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信旻晖.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高中地理教学中空间思维能力培养的路径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[N].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北京科技报,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2025-02-24(004).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XIN M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H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The path for cultivating spatial thinking abilities in high school geography teaching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[N]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Beijing Science and Technology News, 2025-02-24 (004).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</w:t>
      </w:r>
    </w:p>
    <w:p w14:paraId="3E2CF382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43A9F6B3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网络文献 </w:t>
      </w:r>
    </w:p>
    <w:p w14:paraId="76E2AFAF">
      <w:pPr>
        <w:widowControl/>
        <w:jc w:val="left"/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[1] </w:t>
      </w:r>
      <w:r>
        <w:rPr>
          <w:rFonts w:hint="eastAsia" w:ascii="宋体" w:hAnsi="宋体" w:eastAsia="宋体" w:cs="宋体"/>
          <w:color w:val="231F20"/>
          <w:kern w:val="0"/>
          <w:sz w:val="18"/>
          <w:szCs w:val="18"/>
        </w:rPr>
        <w:t>世界货币基金会(IMF). 2011世界GDP排名、人均GDP排名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[EB/OL]</w:t>
      </w:r>
      <w:r>
        <w:rPr>
          <w:rFonts w:hint="eastAsia" w:ascii="宋体" w:hAnsi="宋体" w:eastAsia="宋体" w:cs="宋体"/>
          <w:color w:val="231F20"/>
          <w:kern w:val="0"/>
          <w:sz w:val="18"/>
          <w:szCs w:val="18"/>
        </w:rPr>
        <w:t>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(2013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15)[2022-01-03]. http: //wenku.baidu.com/ view/cd78d34133687e21af45a938.html. [International Monetary Fund. GDP ranking, per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capita GDP ranking in the World in 2011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[EB/OL]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. (2013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15)[2022-01-03]. http://wenku.baidu.com/view/cd78d34133687e21af45a938.html.]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Verdana">
    <w:panose1 w:val="020B0804030504040204"/>
    <w:charset w:val="00"/>
    <w:family w:val="swiss"/>
    <w:pitch w:val="default"/>
    <w:sig w:usb0="A10006FF" w:usb1="4000205B" w:usb2="00000010" w:usb3="00000000" w:csb0="2000019F" w:csb1="00000000"/>
  </w:font>
  <w:font w:name="Times New Roman Regular">
    <w:panose1 w:val="02020503050405090304"/>
    <w:charset w:val="00"/>
    <w:family w:val="auto"/>
    <w:pitch w:val="default"/>
    <w:sig w:usb0="E0000AFF" w:usb1="00007843" w:usb2="00000001" w:usb3="00000000" w:csb0="400001BF" w:csb1="DFF7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 Light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DF8B2A"/>
    <w:multiLevelType w:val="singleLevel"/>
    <w:tmpl w:val="9ADF8B2A"/>
    <w:lvl w:ilvl="0" w:tentative="0">
      <w:start w:val="1"/>
      <w:numFmt w:val="decimal"/>
      <w:suff w:val="space"/>
      <w:lvlText w:val="[%1]"/>
      <w:lvlJc w:val="left"/>
    </w:lvl>
  </w:abstractNum>
  <w:abstractNum w:abstractNumId="1">
    <w:nsid w:val="B3FE85EE"/>
    <w:multiLevelType w:val="singleLevel"/>
    <w:tmpl w:val="B3FE85EE"/>
    <w:lvl w:ilvl="0" w:tentative="0">
      <w:start w:val="1"/>
      <w:numFmt w:val="decimal"/>
      <w:suff w:val="space"/>
      <w:lvlText w:val="[%1]"/>
      <w:lvlJc w:val="left"/>
    </w:lvl>
  </w:abstractNum>
  <w:abstractNum w:abstractNumId="2">
    <w:nsid w:val="7FFD8427"/>
    <w:multiLevelType w:val="singleLevel"/>
    <w:tmpl w:val="7FFD8427"/>
    <w:lvl w:ilvl="0" w:tentative="0">
      <w:start w:val="1"/>
      <w:numFmt w:val="decimal"/>
      <w:suff w:val="space"/>
      <w:lvlText w:val="[%1]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2"/>
  <w:bordersDoNotSurroundHeader w:val="1"/>
  <w:bordersDoNotSurroundFooter w:val="1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0BC"/>
    <w:rsid w:val="00017733"/>
    <w:rsid w:val="0002540C"/>
    <w:rsid w:val="00036025"/>
    <w:rsid w:val="00040F13"/>
    <w:rsid w:val="00073C3B"/>
    <w:rsid w:val="00075E26"/>
    <w:rsid w:val="000C0B3F"/>
    <w:rsid w:val="0017240F"/>
    <w:rsid w:val="001A2E64"/>
    <w:rsid w:val="002C43AF"/>
    <w:rsid w:val="002D1407"/>
    <w:rsid w:val="002E2F95"/>
    <w:rsid w:val="002E6DA8"/>
    <w:rsid w:val="003036FC"/>
    <w:rsid w:val="00305D67"/>
    <w:rsid w:val="003331E3"/>
    <w:rsid w:val="00361F22"/>
    <w:rsid w:val="00380A21"/>
    <w:rsid w:val="00461D9A"/>
    <w:rsid w:val="004C6D30"/>
    <w:rsid w:val="00501BDC"/>
    <w:rsid w:val="0056276E"/>
    <w:rsid w:val="005C12D0"/>
    <w:rsid w:val="006001CF"/>
    <w:rsid w:val="00607B5B"/>
    <w:rsid w:val="00687744"/>
    <w:rsid w:val="00693C28"/>
    <w:rsid w:val="006C19F6"/>
    <w:rsid w:val="00720449"/>
    <w:rsid w:val="00755D53"/>
    <w:rsid w:val="007A3184"/>
    <w:rsid w:val="007F1E20"/>
    <w:rsid w:val="008715AB"/>
    <w:rsid w:val="008900BC"/>
    <w:rsid w:val="008B2F3B"/>
    <w:rsid w:val="008E2FB6"/>
    <w:rsid w:val="008F616B"/>
    <w:rsid w:val="00907FA2"/>
    <w:rsid w:val="00974535"/>
    <w:rsid w:val="0098233C"/>
    <w:rsid w:val="00987947"/>
    <w:rsid w:val="0099555C"/>
    <w:rsid w:val="009A55D2"/>
    <w:rsid w:val="00AA2BAD"/>
    <w:rsid w:val="00AE69A2"/>
    <w:rsid w:val="00AF3BC1"/>
    <w:rsid w:val="00B23180"/>
    <w:rsid w:val="00B42D7F"/>
    <w:rsid w:val="00B436C7"/>
    <w:rsid w:val="00B87FBF"/>
    <w:rsid w:val="00B96819"/>
    <w:rsid w:val="00BC3A9D"/>
    <w:rsid w:val="00C726D0"/>
    <w:rsid w:val="00CA0050"/>
    <w:rsid w:val="00D323A8"/>
    <w:rsid w:val="00D36ACA"/>
    <w:rsid w:val="00D371A3"/>
    <w:rsid w:val="00D8072A"/>
    <w:rsid w:val="00D840AB"/>
    <w:rsid w:val="00D96105"/>
    <w:rsid w:val="00DE31C5"/>
    <w:rsid w:val="00DF73F6"/>
    <w:rsid w:val="00E0762A"/>
    <w:rsid w:val="00E146D7"/>
    <w:rsid w:val="00F84529"/>
    <w:rsid w:val="00F93876"/>
    <w:rsid w:val="00FD742A"/>
    <w:rsid w:val="038E9836"/>
    <w:rsid w:val="136FA2C8"/>
    <w:rsid w:val="1BF6F325"/>
    <w:rsid w:val="1D4F666F"/>
    <w:rsid w:val="1FFF4885"/>
    <w:rsid w:val="32AB9B33"/>
    <w:rsid w:val="3EBA88BD"/>
    <w:rsid w:val="3FFF3229"/>
    <w:rsid w:val="42FEDE1D"/>
    <w:rsid w:val="5EEE5FFE"/>
    <w:rsid w:val="5FE3AA92"/>
    <w:rsid w:val="5FEF5936"/>
    <w:rsid w:val="5FF6E429"/>
    <w:rsid w:val="67DEDBA8"/>
    <w:rsid w:val="67EF45AD"/>
    <w:rsid w:val="6D7778C7"/>
    <w:rsid w:val="6DDA37CF"/>
    <w:rsid w:val="6F9FA864"/>
    <w:rsid w:val="77FF5796"/>
    <w:rsid w:val="7BCD499B"/>
    <w:rsid w:val="7CBF644A"/>
    <w:rsid w:val="7CDA42FE"/>
    <w:rsid w:val="7CF75D4D"/>
    <w:rsid w:val="7E7C8AC7"/>
    <w:rsid w:val="7FAD09FB"/>
    <w:rsid w:val="7FEF8841"/>
    <w:rsid w:val="7FF1E162"/>
    <w:rsid w:val="7FF7EC4B"/>
    <w:rsid w:val="97FDB7DB"/>
    <w:rsid w:val="9EB6A0D7"/>
    <w:rsid w:val="9FF508C4"/>
    <w:rsid w:val="ADCF6DF3"/>
    <w:rsid w:val="AFDE77E2"/>
    <w:rsid w:val="B42F7C74"/>
    <w:rsid w:val="BF7FAA6C"/>
    <w:rsid w:val="C1F74586"/>
    <w:rsid w:val="CE7B8013"/>
    <w:rsid w:val="D3FF64F0"/>
    <w:rsid w:val="D6FF5439"/>
    <w:rsid w:val="D79D9206"/>
    <w:rsid w:val="DBBED920"/>
    <w:rsid w:val="DBF55132"/>
    <w:rsid w:val="DCFFE43D"/>
    <w:rsid w:val="EEFF05FC"/>
    <w:rsid w:val="F1B5C5FE"/>
    <w:rsid w:val="F7FC7019"/>
    <w:rsid w:val="FD7D1126"/>
    <w:rsid w:val="FDCB72CC"/>
    <w:rsid w:val="FDFFA222"/>
    <w:rsid w:val="FE171BE2"/>
    <w:rsid w:val="FEC78584"/>
    <w:rsid w:val="FFBF7F85"/>
    <w:rsid w:val="FFF76343"/>
    <w:rsid w:val="FFF90E72"/>
    <w:rsid w:val="FFFF9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semiHidden/>
    <w:unhideWhenUsed/>
    <w:uiPriority w:val="1"/>
  </w:style>
  <w:style w:type="table" w:default="1" w:styleId="1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48"/>
    <w:semiHidden/>
    <w:unhideWhenUsed/>
    <w:uiPriority w:val="99"/>
    <w:pPr>
      <w:jc w:val="left"/>
    </w:pPr>
  </w:style>
  <w:style w:type="paragraph" w:styleId="12">
    <w:name w:val="Balloon Text"/>
    <w:basedOn w:val="1"/>
    <w:link w:val="60"/>
    <w:semiHidden/>
    <w:unhideWhenUsed/>
    <w:uiPriority w:val="99"/>
    <w:rPr>
      <w:sz w:val="18"/>
      <w:szCs w:val="18"/>
    </w:rPr>
  </w:style>
  <w:style w:type="paragraph" w:styleId="13">
    <w:name w:val="footer"/>
    <w:basedOn w:val="1"/>
    <w:link w:val="4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45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2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31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7">
    <w:name w:val="annotation subject"/>
    <w:basedOn w:val="11"/>
    <w:next w:val="11"/>
    <w:link w:val="49"/>
    <w:semiHidden/>
    <w:unhideWhenUsed/>
    <w:uiPriority w:val="99"/>
    <w:rPr>
      <w:b/>
      <w:bCs/>
    </w:rPr>
  </w:style>
  <w:style w:type="table" w:styleId="19">
    <w:name w:val="Table Grid"/>
    <w:basedOn w:val="18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annotation reference"/>
    <w:basedOn w:val="20"/>
    <w:semiHidden/>
    <w:unhideWhenUsed/>
    <w:uiPriority w:val="99"/>
    <w:rPr>
      <w:sz w:val="21"/>
      <w:szCs w:val="21"/>
    </w:rPr>
  </w:style>
  <w:style w:type="character" w:customStyle="1" w:styleId="22">
    <w:name w:val="标题 1 字符"/>
    <w:basedOn w:val="20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3">
    <w:name w:val="标题 2 字符"/>
    <w:basedOn w:val="20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uiPriority w:val="9"/>
    <w:rPr>
      <w:rFonts w:cstheme="majorBidi"/>
      <w:color w:val="104862" w:themeColor="accent1" w:themeShade="BF"/>
      <w:sz w:val="24"/>
    </w:rPr>
  </w:style>
  <w:style w:type="character" w:customStyle="1" w:styleId="27">
    <w:name w:val="标题 6 字符"/>
    <w:basedOn w:val="20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8">
    <w:name w:val="标题 7 字符"/>
    <w:basedOn w:val="20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5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3">
    <w:name w:val="Quote"/>
    <w:basedOn w:val="1"/>
    <w:next w:val="1"/>
    <w:link w:val="34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明显强调1"/>
    <w:basedOn w:val="20"/>
    <w:qFormat/>
    <w:uiPriority w:val="21"/>
    <w:rPr>
      <w:i/>
      <w:iCs/>
      <w:color w:val="104862" w:themeColor="accent1" w:themeShade="BF"/>
    </w:rPr>
  </w:style>
  <w:style w:type="paragraph" w:styleId="37">
    <w:name w:val="Intense Quote"/>
    <w:basedOn w:val="1"/>
    <w:next w:val="1"/>
    <w:link w:val="38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8">
    <w:name w:val="明显引用 字符"/>
    <w:basedOn w:val="20"/>
    <w:link w:val="37"/>
    <w:uiPriority w:val="30"/>
    <w:rPr>
      <w:i/>
      <w:iCs/>
      <w:color w:val="104862" w:themeColor="accent1" w:themeShade="BF"/>
    </w:rPr>
  </w:style>
  <w:style w:type="character" w:customStyle="1" w:styleId="39">
    <w:name w:val="明显参考1"/>
    <w:basedOn w:val="20"/>
    <w:qFormat/>
    <w:uiPriority w:val="32"/>
    <w:rPr>
      <w:b/>
      <w:bCs/>
      <w:smallCaps/>
      <w:color w:val="104862" w:themeColor="accent1" w:themeShade="BF"/>
      <w:spacing w:val="5"/>
    </w:rPr>
  </w:style>
  <w:style w:type="table" w:customStyle="1" w:styleId="40">
    <w:name w:val="网格表 1 浅色 - 着色 11"/>
    <w:basedOn w:val="18"/>
    <w:uiPriority w:val="46"/>
    <w:tblPr>
      <w:tblBorders>
        <w:top w:val="single" w:color="83CAEB" w:themeColor="accent1" w:themeTint="66" w:sz="4" w:space="0"/>
        <w:left w:val="single" w:color="83CAEB" w:themeColor="accent1" w:themeTint="66" w:sz="4" w:space="0"/>
        <w:bottom w:val="single" w:color="83CAEB" w:themeColor="accent1" w:themeTint="66" w:sz="4" w:space="0"/>
        <w:right w:val="single" w:color="83CAEB" w:themeColor="accent1" w:themeTint="66" w:sz="4" w:space="0"/>
        <w:insideH w:val="single" w:color="83CAEB" w:themeColor="accent1" w:themeTint="66" w:sz="4" w:space="0"/>
        <w:insideV w:val="single" w:color="83CAEB" w:themeColor="accent1" w:themeTint="66" w:sz="4" w:space="0"/>
      </w:tblBorders>
    </w:tblPr>
    <w:tcPr>
      <w:shd w:val="clear" w:color="auto" w:fill="C1E4F5" w:themeFill="accent1" w:themeFillTint="33"/>
    </w:tcPr>
    <w:tblStylePr w:type="firstRow">
      <w:rPr>
        <w:b/>
        <w:bCs/>
      </w:rPr>
      <w:tcPr>
        <w:tcBorders>
          <w:bottom w:val="single" w:color="45B0E1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45B0E1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1">
    <w:name w:val="网格表 4 - 着色 41"/>
    <w:basedOn w:val="18"/>
    <w:uiPriority w:val="49"/>
    <w:tblPr>
      <w:tblBorders>
        <w:top w:val="single" w:color="60CBF3" w:themeColor="accent4" w:themeTint="99" w:sz="4" w:space="0"/>
        <w:left w:val="single" w:color="60CBF3" w:themeColor="accent4" w:themeTint="99" w:sz="4" w:space="0"/>
        <w:bottom w:val="single" w:color="60CBF3" w:themeColor="accent4" w:themeTint="99" w:sz="4" w:space="0"/>
        <w:right w:val="single" w:color="60CBF3" w:themeColor="accent4" w:themeTint="99" w:sz="4" w:space="0"/>
        <w:insideH w:val="single" w:color="60CBF3" w:themeColor="accent4" w:themeTint="99" w:sz="4" w:space="0"/>
        <w:insideV w:val="single" w:color="60CBF3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F9ED5" w:themeColor="accent4" w:sz="4" w:space="0"/>
          <w:left w:val="single" w:color="0F9ED5" w:themeColor="accent4" w:sz="4" w:space="0"/>
          <w:bottom w:val="single" w:color="0F9ED5" w:themeColor="accent4" w:sz="4" w:space="0"/>
          <w:right w:val="single" w:color="0F9ED5" w:themeColor="accent4" w:sz="4" w:space="0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cPr>
        <w:tcBorders>
          <w:top w:val="double" w:color="0F9ED5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AEDFB" w:themeFill="accent4" w:themeFillTint="33"/>
      </w:tcPr>
    </w:tblStylePr>
    <w:tblStylePr w:type="band1Horz">
      <w:tcPr>
        <w:shd w:val="clear" w:color="auto" w:fill="CAEDFB" w:themeFill="accent4" w:themeFillTint="33"/>
      </w:tcPr>
    </w:tblStylePr>
  </w:style>
  <w:style w:type="table" w:customStyle="1" w:styleId="42">
    <w:name w:val="网格表 5 深色 - 着色 41"/>
    <w:basedOn w:val="1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F9ED5" w:themeFill="accent4"/>
      </w:tcPr>
    </w:tblStylePr>
    <w:tblStylePr w:type="band1Vert">
      <w:tcPr>
        <w:shd w:val="clear" w:color="auto" w:fill="95DCF7" w:themeFill="accent4" w:themeFillTint="66"/>
      </w:tcPr>
    </w:tblStylePr>
    <w:tblStylePr w:type="band1Horz">
      <w:tcPr>
        <w:shd w:val="clear" w:color="auto" w:fill="95DCF7" w:themeFill="accent4" w:themeFillTint="66"/>
      </w:tcPr>
    </w:tblStylePr>
  </w:style>
  <w:style w:type="table" w:customStyle="1" w:styleId="43">
    <w:name w:val="清单表 6 彩色 - 着色 11"/>
    <w:basedOn w:val="18"/>
    <w:uiPriority w:val="51"/>
    <w:rPr>
      <w:color w:val="104862" w:themeColor="accent1" w:themeShade="BF"/>
    </w:rPr>
    <w:tblPr>
      <w:tblBorders>
        <w:top w:val="single" w:color="156082" w:themeColor="accent1" w:sz="4" w:space="0"/>
        <w:bottom w:val="single" w:color="156082" w:themeColor="accent1" w:sz="4" w:space="0"/>
      </w:tblBorders>
    </w:tblPr>
    <w:tblStylePr w:type="firstRow">
      <w:rPr>
        <w:b/>
        <w:bCs/>
      </w:rPr>
      <w:tcPr>
        <w:tcBorders>
          <w:bottom w:val="single" w:color="156082" w:themeColor="accent1" w:sz="4" w:space="0"/>
        </w:tcBorders>
      </w:tcPr>
    </w:tblStylePr>
    <w:tblStylePr w:type="lastRow">
      <w:rPr>
        <w:b/>
        <w:bCs/>
      </w:rPr>
      <w:tcPr>
        <w:tcBorders>
          <w:top w:val="double" w:color="156082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1E4F5" w:themeFill="accent1" w:themeFillTint="33"/>
      </w:tcPr>
    </w:tblStylePr>
    <w:tblStylePr w:type="band1Horz">
      <w:tcPr>
        <w:shd w:val="clear" w:color="auto" w:fill="C1E4F5" w:themeFill="accent1" w:themeFillTint="33"/>
      </w:tcPr>
    </w:tblStylePr>
  </w:style>
  <w:style w:type="table" w:customStyle="1" w:styleId="44">
    <w:name w:val="清单表 5 深色 - 着色 41"/>
    <w:basedOn w:val="1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0F9ED5" w:themeColor="accent4" w:sz="24" w:space="0"/>
        <w:left w:val="single" w:color="0F9ED5" w:themeColor="accent4" w:sz="24" w:space="0"/>
        <w:bottom w:val="single" w:color="0F9ED5" w:themeColor="accent4" w:sz="24" w:space="0"/>
        <w:right w:val="single" w:color="0F9ED5" w:themeColor="accent4" w:sz="24" w:space="0"/>
      </w:tblBorders>
    </w:tblPr>
    <w:tcPr>
      <w:shd w:val="clear" w:color="auto" w:fill="0F9ED5" w:themeFill="accent4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character" w:customStyle="1" w:styleId="45">
    <w:name w:val="页眉 字符"/>
    <w:basedOn w:val="20"/>
    <w:link w:val="14"/>
    <w:uiPriority w:val="99"/>
    <w:rPr>
      <w:sz w:val="18"/>
      <w:szCs w:val="18"/>
    </w:rPr>
  </w:style>
  <w:style w:type="character" w:customStyle="1" w:styleId="46">
    <w:name w:val="页脚 字符"/>
    <w:basedOn w:val="20"/>
    <w:link w:val="13"/>
    <w:uiPriority w:val="99"/>
    <w:rPr>
      <w:sz w:val="18"/>
      <w:szCs w:val="18"/>
    </w:rPr>
  </w:style>
  <w:style w:type="paragraph" w:customStyle="1" w:styleId="47">
    <w:name w:val="修订1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48">
    <w:name w:val="批注文字 字符"/>
    <w:basedOn w:val="20"/>
    <w:link w:val="11"/>
    <w:semiHidden/>
    <w:uiPriority w:val="99"/>
  </w:style>
  <w:style w:type="character" w:customStyle="1" w:styleId="49">
    <w:name w:val="批注主题 字符"/>
    <w:basedOn w:val="48"/>
    <w:link w:val="17"/>
    <w:semiHidden/>
    <w:uiPriority w:val="99"/>
    <w:rPr>
      <w:b/>
      <w:bCs/>
    </w:rPr>
  </w:style>
  <w:style w:type="paragraph" w:customStyle="1" w:styleId="50">
    <w:name w:val="修订2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1">
    <w:name w:val="修订3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2">
    <w:name w:val="修订4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3">
    <w:name w:val="修订5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54">
    <w:name w:val="style141"/>
    <w:uiPriority w:val="0"/>
    <w:rPr>
      <w:rFonts w:hint="default" w:ascii="Verdana" w:hAnsi="Verdana"/>
      <w:sz w:val="18"/>
      <w:szCs w:val="18"/>
    </w:rPr>
  </w:style>
  <w:style w:type="paragraph" w:customStyle="1" w:styleId="55">
    <w:name w:val="修订6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6">
    <w:name w:val="修订7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7">
    <w:name w:val="修订8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8">
    <w:name w:val="修订9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9">
    <w:name w:val="修订10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60">
    <w:name w:val="批注框文本 字符"/>
    <w:basedOn w:val="20"/>
    <w:link w:val="12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61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2</Pages>
  <Words>488</Words>
  <Characters>2785</Characters>
  <Lines>23</Lines>
  <Paragraphs>6</Paragraphs>
  <TotalTime>4</TotalTime>
  <ScaleCrop>false</ScaleCrop>
  <LinksUpToDate>false</LinksUpToDate>
  <CharactersWithSpaces>3267</CharactersWithSpaces>
  <Application>WPS Office_7.3.1.8967_F1E327BC-269C-435d-A152-05C5408002CA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2025-09-18T20:59:00Z</dcterms:created>
  <dc:creator>e6399</dc:creator>
  <cp:lastModifiedBy>zcc</cp:lastModifiedBy>
  <dcterms:modified xsi:type="dcterms:W3CDTF">2025-09-18T21:10:49Z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2052-7.3.1.8967</vt:lpwstr>
  </property>
  <property fmtid="{D5CDD505-2E9C-101B-9397-08002B2CF9AE}" pid="3" name="ICV">
    <vt:lpwstr>7B6D5BD8E7AB8675EE7C6668E6494185_43</vt:lpwstr>
  </property>
</Properties>
</file>