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F9EB5F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/>
        <w:jc w:val="center"/>
        <w:rPr>
          <w:rFonts w:hint="eastAsia" w:ascii="宋体" w:hAnsi="宋体" w:eastAsia="宋体" w:cs="宋体"/>
          <w:color w:val="000000"/>
          <w:sz w:val="32"/>
          <w:szCs w:val="32"/>
        </w:rPr>
      </w:pPr>
      <w:bookmarkStart w:id="0" w:name="_GoBack"/>
      <w:r>
        <w:rPr>
          <w:rFonts w:hint="eastAsia" w:ascii="宋体" w:hAnsi="宋体" w:eastAsia="宋体" w:cs="宋体"/>
          <w:color w:val="000000"/>
          <w:sz w:val="32"/>
          <w:szCs w:val="32"/>
          <w:bdr w:val="none" w:color="auto" w:sz="0" w:space="0"/>
          <w:lang w:eastAsia="zh-CN"/>
        </w:rPr>
        <w:t>《</w:t>
      </w:r>
      <w:r>
        <w:rPr>
          <w:rFonts w:hint="eastAsia" w:ascii="宋体" w:hAnsi="宋体" w:eastAsia="宋体" w:cs="宋体"/>
          <w:color w:val="000000"/>
          <w:sz w:val="32"/>
          <w:szCs w:val="32"/>
          <w:bdr w:val="none" w:color="auto" w:sz="0" w:space="0"/>
        </w:rPr>
        <w:t>华南地理学报》开放获取发布声明</w:t>
      </w:r>
    </w:p>
    <w:bookmarkEnd w:id="0"/>
    <w:p w14:paraId="204EEF6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jc w:val="left"/>
        <w:textAlignment w:val="auto"/>
        <w:rPr>
          <w:rFonts w:hint="default" w:ascii="Times New Roman" w:hAnsi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《华南地理学报》奉行同行双盲评审机制，全系开放获取出版刊物。本刊所有刊载内容均以知识共享—署名—非商业性—禁止演绎4.0协议（CC-BY-NC-ND 4.0）发布。依据该协议，本刊开放获取文章于发表后即刻、永久向社会免费公开，全文可通过本刊官方网站（http://www.geogsouth.com.cn）免费获取。用户可自由阅读、下载、复制、打印、检索或链接全文，亦可用于各类合法合规的学术与非商业用途。</w:t>
      </w:r>
    </w:p>
    <w:p w14:paraId="5A119E8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/>
        <w:textAlignment w:val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bdr w:val="none" w:color="auto" w:sz="0" w:space="0"/>
        </w:rPr>
        <w:t>开放获取使用规范</w:t>
      </w:r>
    </w:p>
    <w:p w14:paraId="71F2233C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jc w:val="left"/>
        <w:textAlignment w:val="auto"/>
        <w:rPr>
          <w:rFonts w:hint="default" w:ascii="Times New Roman" w:hAnsi="Times New Roman" w:cs="Times New Roman"/>
          <w:color w:val="000000"/>
          <w:sz w:val="24"/>
          <w:szCs w:val="24"/>
        </w:rPr>
      </w:pPr>
      <w:r>
        <w:rPr>
          <w:rFonts w:hint="default" w:ascii="Times New Roman" w:hAnsi="Times New Roman" w:eastAsia="宋体" w:cs="Times New Roman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用户使用本刊文章须严格遵循CC-BY-NC-ND 4.0协议核心条款：</w:t>
      </w:r>
    </w:p>
    <w:p w14:paraId="2DDEE091">
      <w:pPr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Chars="200" w:right="0" w:rightChars="0"/>
        <w:jc w:val="left"/>
        <w:textAlignment w:val="auto"/>
        <w:rPr>
          <w:color w:val="000000"/>
          <w:sz w:val="24"/>
          <w:szCs w:val="24"/>
        </w:rPr>
      </w:pPr>
      <w:r>
        <w:rPr>
          <w:rFonts w:hint="eastAsia"/>
          <w:color w:val="000000"/>
          <w:sz w:val="24"/>
          <w:szCs w:val="24"/>
          <w:bdr w:val="none" w:color="auto" w:sz="0" w:space="0"/>
          <w:lang w:val="en-US" w:eastAsia="zh-CN"/>
        </w:rPr>
        <w:t>1.</w:t>
      </w:r>
      <w:r>
        <w:rPr>
          <w:color w:val="000000"/>
          <w:sz w:val="24"/>
          <w:szCs w:val="24"/>
          <w:bdr w:val="none" w:color="auto" w:sz="0" w:space="0"/>
        </w:rPr>
        <w:t>非商业性使用：仅限非商业目的，严禁对作品进行任何修改、编辑后传播发行。</w:t>
      </w:r>
    </w:p>
    <w:p w14:paraId="5D68C4A2">
      <w:pPr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Chars="200" w:right="0" w:rightChars="0"/>
        <w:jc w:val="left"/>
        <w:textAlignment w:val="auto"/>
        <w:rPr>
          <w:color w:val="000000"/>
          <w:sz w:val="24"/>
          <w:szCs w:val="24"/>
        </w:rPr>
      </w:pPr>
      <w:r>
        <w:rPr>
          <w:rFonts w:hint="eastAsia"/>
          <w:color w:val="000000"/>
          <w:sz w:val="24"/>
          <w:szCs w:val="24"/>
          <w:bdr w:val="none" w:color="auto" w:sz="0" w:space="0"/>
          <w:lang w:val="en-US" w:eastAsia="zh-CN"/>
        </w:rPr>
        <w:t>2.</w:t>
      </w:r>
      <w:r>
        <w:rPr>
          <w:color w:val="000000"/>
          <w:sz w:val="24"/>
          <w:szCs w:val="24"/>
          <w:bdr w:val="none" w:color="auto" w:sz="0" w:space="0"/>
        </w:rPr>
        <w:t>规范署名与溯源：使用时需完整标注作者信息，提供DOI链接以追溯正式出版物，并附上许可协议链接，不得以任何形式暗示本刊或作者认可你的使用行为。</w:t>
      </w:r>
    </w:p>
    <w:p w14:paraId="457F9018">
      <w:pPr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Chars="200" w:right="0" w:rightChars="0"/>
        <w:jc w:val="left"/>
        <w:textAlignment w:val="auto"/>
        <w:rPr>
          <w:color w:val="000000"/>
          <w:sz w:val="24"/>
          <w:szCs w:val="24"/>
          <w:bdr w:val="none" w:color="auto" w:sz="0" w:space="0"/>
        </w:rPr>
      </w:pPr>
      <w:r>
        <w:rPr>
          <w:rFonts w:hint="eastAsia"/>
          <w:color w:val="000000"/>
          <w:sz w:val="24"/>
          <w:szCs w:val="24"/>
          <w:bdr w:val="none" w:color="auto" w:sz="0" w:space="0"/>
          <w:lang w:val="en-US" w:eastAsia="zh-CN"/>
        </w:rPr>
        <w:t>3.</w:t>
      </w:r>
      <w:r>
        <w:rPr>
          <w:color w:val="000000"/>
          <w:sz w:val="24"/>
          <w:szCs w:val="24"/>
          <w:bdr w:val="none" w:color="auto" w:sz="0" w:space="0"/>
        </w:rPr>
        <w:t>禁止衍生传播：不得分发基于本刊文章的衍生作品，包括重新拼接内容、变更出版形态，或在原有研究材料基础上进行二次构建与传播。</w:t>
      </w:r>
    </w:p>
    <w:p w14:paraId="73319EAF">
      <w:pPr>
        <w:keepNext w:val="0"/>
        <w:keepLines w:val="0"/>
        <w:pageBreakBefore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/>
        <w:jc w:val="left"/>
        <w:textAlignment w:val="auto"/>
        <w:rPr>
          <w:b/>
          <w:bCs/>
          <w:color w:val="000000"/>
          <w:sz w:val="24"/>
          <w:szCs w:val="24"/>
          <w:bdr w:val="none" w:color="auto" w:sz="0" w:space="0"/>
        </w:rPr>
      </w:pPr>
      <w:r>
        <w:rPr>
          <w:rFonts w:hint="eastAsia"/>
          <w:b/>
          <w:bCs/>
          <w:color w:val="000000"/>
          <w:sz w:val="24"/>
          <w:szCs w:val="24"/>
          <w:bdr w:val="none" w:color="auto" w:sz="0" w:space="0"/>
        </w:rPr>
        <w:t>详情请访问：https://creativecommons.net.cn/licenses/meet-the-licenses/</w:t>
      </w:r>
    </w:p>
    <w:p w14:paraId="73785BF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/>
        <w:textAlignment w:val="auto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bdr w:val="none" w:color="auto" w:sz="0" w:space="0"/>
        </w:rPr>
        <w:t>开放获取支持</w:t>
      </w:r>
    </w:p>
    <w:p w14:paraId="7CD2E3F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jc w:val="left"/>
        <w:textAlignment w:val="auto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为保障开放获取的高效传播，本刊已建立多渠道全文获取体系。除官方网站外，本刊历史刊载文章同步在中国知网、万方、维普等主流学术平台收录，用户可通过多平台便捷获取全文。同时，本刊支持作者将文章版本存储于机构知识库，需在元数据中规范标注期刊发表信息，确保学术引用的准确性与可追溯性。</w:t>
      </w:r>
    </w:p>
    <w:p w14:paraId="1255F694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left="0" w:right="0" w:firstLine="480" w:firstLineChars="200"/>
        <w:jc w:val="left"/>
        <w:textAlignment w:val="auto"/>
        <w:rPr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kern w:val="0"/>
          <w:sz w:val="24"/>
          <w:szCs w:val="24"/>
          <w:bdr w:val="none" w:color="auto" w:sz="0" w:space="0"/>
          <w:lang w:val="en-US" w:eastAsia="zh-CN" w:bidi="ar"/>
        </w:rPr>
        <w:t>本刊秉持开放共享的学术理念，致力于推动地理学前沿成果的广泛传播与深度交流，欢迎广大读者、作者及研究者依规合理使用本刊内容，共同助力地理学学科发展。</w:t>
      </w:r>
    </w:p>
    <w:p w14:paraId="18372C0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DD1F34"/>
    <w:rsid w:val="24DD1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Office_12.1.0.25222_F1E327BC-269C-435d-A152-05C5408002CA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2026-04-22T02:44:00Z</dcterms:created>
  <dc:creator>Zcc</dc:creator>
  <cp:lastModifiedBy>Zcc</cp:lastModifiedBy>
  <dcterms:modified xsi:type="dcterms:W3CDTF">2026-04-22T02:49:45Z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2052-12.1.0.25222</vt:lpwstr>
  </property>
  <property fmtid="{D5CDD505-2E9C-101B-9397-08002B2CF9AE}" pid="3" name="ICV">
    <vt:lpwstr>8A1D0EC746214FF494F19335CF1A7FA7_11</vt:lpwstr>
  </property>
  <property fmtid="{D5CDD505-2E9C-101B-9397-08002B2CF9AE}" pid="4" name="KSOTemplateDocerSaveRecord">
    <vt:lpwstr>eyJoZGlkIjoiMTRkNWQwOWQxODFlYjU1MDBkYTZlY2ExZWFmNWY0OGUiLCJ1c2VySWQiOiIxNTc1NzQxNjAyIn0=</vt:lpwstr>
  </property>
</Properties>
</file>